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851"/>
        <w:jc w:val="center"/>
        <w:rPr>
          <w:sz w:val="26"/>
          <w:szCs w:val="26"/>
        </w:rPr>
      </w:pPr>
      <w:r>
        <w:rPr/>
        <w:drawing>
          <wp:inline distT="0" distB="0" distL="0" distR="0">
            <wp:extent cx="495300" cy="6667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left="-85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КУНАШАКСКОГО МУНИЦИПАЛЬНОГО ОКРУГА ЧЕЛЯБИНСКОЙ ОБЛАСТИ</w:t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 «08» апреля 2026г. № 574</w:t>
      </w:r>
      <w:bookmarkStart w:id="0" w:name="_GoBack"/>
      <w:bookmarkEnd w:id="0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text" w:leftFromText="180" w:rightFromText="180" w:tblpX="79" w:tblpY="181"/>
        <w:tblW w:w="49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6"/>
      </w:tblGrid>
      <w:tr>
        <w:trPr>
          <w:trHeight w:val="450" w:hRule="atLeast"/>
        </w:trPr>
        <w:tc>
          <w:tcPr>
            <w:tcW w:w="4956" w:type="dxa"/>
            <w:tcBorders/>
          </w:tcPr>
          <w:p>
            <w:pPr>
              <w:pStyle w:val="Normal"/>
              <w:tabs>
                <w:tab w:val="clear" w:pos="708"/>
                <w:tab w:val="left" w:pos="3015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sz w:val="28"/>
                <w:szCs w:val="28"/>
                <w:lang w:eastAsia="en-US"/>
              </w:rPr>
              <w:t>«Развитие здравоохранения Кунашакского муниципального округа  на 2026 - 2028 годы»</w:t>
            </w:r>
          </w:p>
        </w:tc>
      </w:tr>
    </w:tbl>
    <w:p>
      <w:pPr>
        <w:pStyle w:val="Normal"/>
        <w:tabs>
          <w:tab w:val="clear" w:pos="708"/>
          <w:tab w:val="left" w:pos="301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1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1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1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1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1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1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Уставом Кунашакского муниципального округа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муниципальную программу </w:t>
      </w:r>
      <w:r>
        <w:rPr>
          <w:sz w:val="28"/>
          <w:szCs w:val="28"/>
          <w:lang w:eastAsia="en-US"/>
        </w:rPr>
        <w:t>«Развитие здравоохранения Кунашакского муниципального округа  на 2026 - 2028 годы»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Начальнику отдела информационных технологий Администрации Кунашакского муниципального округа Хуртову А.А. разместить настоящее постановление на официальном сайте Кунашакского муниципального округа.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 Организацию исполнения настоящего постановления возложить на Заместителя Главы округа по социальным вопросам Нажметдинову А.Т.</w:t>
      </w:r>
    </w:p>
    <w:p>
      <w:pPr>
        <w:pStyle w:val="Normal"/>
        <w:tabs>
          <w:tab w:val="clear" w:pos="708"/>
          <w:tab w:val="left" w:pos="301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1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7513" w:leader="none"/>
        </w:tabs>
        <w:jc w:val="both"/>
        <w:rPr/>
      </w:pPr>
      <w:r>
        <w:rPr>
          <w:rFonts w:eastAsia="Calibri"/>
          <w:sz w:val="28"/>
          <w:szCs w:val="28"/>
          <w:lang w:eastAsia="en-US"/>
        </w:rPr>
        <w:t>Глава округа</w:t>
        <w:tab/>
        <w:t>Р.Г. Вакилов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808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к Постановлению Администрации Кунашакского муниципального округа от  «08» апреля 2026г. № 574</w:t>
      </w:r>
      <w:bookmarkStart w:id="1" w:name="_GoBack_Копия_1"/>
      <w:bookmarkEnd w:id="1"/>
    </w:p>
    <w:p>
      <w:pPr>
        <w:pStyle w:val="ConsPlusNormal"/>
        <w:ind w:left="8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before="108" w:after="108"/>
        <w:jc w:val="center"/>
        <w:outlineLvl w:val="1"/>
        <w:rPr>
          <w:bCs/>
          <w:sz w:val="24"/>
          <w:szCs w:val="24"/>
        </w:rPr>
      </w:pPr>
      <w:bookmarkStart w:id="2" w:name="P408"/>
      <w:bookmarkEnd w:id="2"/>
      <w:r>
        <w:rPr>
          <w:bCs/>
          <w:sz w:val="24"/>
          <w:szCs w:val="24"/>
        </w:rPr>
        <w:t>Перечень муниципальных программ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2161" w:type="dxa"/>
        <w:jc w:val="left"/>
        <w:tblInd w:w="2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0"/>
        <w:gridCol w:w="3664"/>
        <w:gridCol w:w="3545"/>
        <w:gridCol w:w="4251"/>
      </w:tblGrid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куратор муниципальной программы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здравоохранения Кунашакского муниципального округа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округа по социальным вопросам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68"/>
      <w:bookmarkEnd w:id="3"/>
      <w:r>
        <w:rPr>
          <w:rFonts w:cs="Times New Roman" w:ascii="Times New Roman" w:hAnsi="Times New Roman"/>
          <w:sz w:val="24"/>
          <w:szCs w:val="24"/>
        </w:rPr>
        <w:t>Муниципальная программа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"Развитие здравоохранения Кунашакского муниципального округа на 2026-2028г.г."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Оценка текущего состояния соответствующей сферы социально-экономического развития муниципального образования</w:t>
      </w:r>
    </w:p>
    <w:p>
      <w:pPr>
        <w:pStyle w:val="formattext"/>
        <w:spacing w:beforeAutospacing="0" w:before="0" w:afterAutospacing="0" w:after="0"/>
        <w:ind w:left="1410"/>
        <w:textAlignment w:val="baseline"/>
        <w:rPr/>
      </w:pPr>
      <w:r>
        <w:rPr/>
      </w:r>
    </w:p>
    <w:p>
      <w:pPr>
        <w:pStyle w:val="formattext"/>
        <w:spacing w:beforeAutospacing="0" w:before="0" w:afterAutospacing="0" w:after="0"/>
        <w:ind w:firstLine="708" w:left="1416"/>
        <w:jc w:val="both"/>
        <w:textAlignment w:val="baseline"/>
        <w:rPr/>
      </w:pPr>
      <w:r>
        <w:rPr/>
        <w:t>Сохранение и укрепление здоровья населения является не только важнейшей социальной задачей, но также показателем изменения благосостояния и индикатором происходящих социально-экономических преобразований в обществе. Решение задачи улучшения здоровья населения требует эффективного взаимодействия всех структур власти и общества и качественного изменения всех факторов, влияющих на жизнь и здоровье каждого человека.</w:t>
      </w:r>
    </w:p>
    <w:p>
      <w:pPr>
        <w:pStyle w:val="formattext"/>
        <w:spacing w:beforeAutospacing="0" w:before="0" w:afterAutospacing="0" w:after="0"/>
        <w:ind w:left="1410"/>
        <w:textAlignment w:val="baseline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демографической ситуации в Кунашакском округе характеризуется в основном процессами, сопровождающимися уменьшением численности населения, начиная с 1992 года. Численность населения в Кунашакском округе на 1 января 2026 года составила 27,505 тысячи человек (на 01.01.2024 года – 27,884 тысячи человек, на 01.01.2025г. 27,737 человек).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 структуре населения лица трудоспособного возраста составляют 51,02 процента, старше трудоспособного возраста 27,1 процента, моложе трудоспособного – 23,8 процент. Общий коэффициент рождаемости на 1 января 2026 года составил 10,46 промилле в расчете на 1000 населения, а общий коэффициент смертности составил 17,6 промилле.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Естественный прирост населения на 01.01.2025г. составил  -7,14 на 1000 населения. Естественная убыль составила 202 человек. При этом показатель младенческой смертности за 2025г. составил 0,0 на 1000 родившихся живыми.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структуре смертности населения Кунашакского округа особо важное место занимает смертность от болезней системы кровообращения,  смертность от  внешних причин и смертность от новообразований. 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 состоянию на 1 января 2026 года сеть учреждений здравоохранения  Кунашакского округа представлена 1 учреждением здравоохранения «ГБУЗ Районная я больница с. Кунашак», в структуре которого: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Отделения стационара - 4;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Поликлиника - 1;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Детское поликлиническое отделение - 1;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Центры общей врачебной практики - 5;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Врачебная амбулатория - 1;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Фельдшерско-акушерские пункты - 35;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Отделение сестринского ухода - 1.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 состоянию на 1 января 2026 года ГБУЗ «Районная больница с. Кунашак»  развернуто 81 койка круглосуточного пребывания и 38 мест в дневных стационарах.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 2025 году круглосуточную стационарную медицинскую помощь получили 2071 жителя, из них 253 ребенка, в условиях дневных стационаров пролечено 1013 человек.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Скорую и неотложную помощь оказывают 5 выездных бригад скорой медицинской помощи, из них 3 круглосуточные бригады.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Кадровая составляющая системы здравоохранения по состоянию на  1 января 2026 года представлена следующим образом: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обеспеченность врачами – 11,9 на 10 тыс. населения (33 врача);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физическими лицами штатных врачебных должностей 41,6%, коэффициент совместительства – 2,0;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обеспеченность медицинскими специалистами со средним профессиональным образованием – 63,3 на 10 тыс. населения;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физическими лицами штатных должностей медицинских специалистов со средним профессиональным образованием физическими лицами составляет 78,8%, коэффициент совместительства – 1,2;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соотношение врачей к специалистам со средним профессиональным образованием – 1 : 5,2 (физ.лиц.) 1 : 2,8 (штатных единиц);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100% врачей имеют сертификат специалиста;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медицинских специалистов со средним профессиональным образованием, имеющих сертификат специалиста 95,8  %.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Необходимость повышения эффективности функционирования отрасли здравоохранения, внедрение новых форм работы, направленных на повышение качества предоставляемых населению медицинских услуг, продиктованы следующими территориальными особенностями и структурой населения округа: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Кунашакский округ, где проживает около 30 тыс. человек, характеризуется обширностью территории, различной плотностью населения, и разностью географических зон, неравной удаленностью поселков от районной больницы. Эти обстоятельства обусловливают существование диспропорций в доступности медицинских услуг для населения различных сельских поселений;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Для удовлетворения потребностей населения в медицинских услугах, отвечающих современным требованиям, необходима модернизация и развитие системы здравоохранения, ее адаптация к изменяющимся правовым, социально-экономическим и демографическим условиям путем решения следующих задач: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приоритета профилактики в сфере охраны здоровья и развития первичной медико-санитарной помощи;  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эвакуации;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и внедрение инновационных методов диагностики, профилактики и лечения, а также основ персонализированной медицины;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эффективности службы родовспоможения и детства;   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развитие медицинской реабилитации населения и совершенствование системы санаторно-курортного лечения, в том числе детей;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медицинской помощью неизлечимых больных,  в том числе детей;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системы здравоохранения округа высококвалифицированными и мотивированными кадрами;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медико-биологическое обеспечение охраны здоровья населения; 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системности организации охраны здоровья. 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Ожидаемая продолжительность жизни при рождении в Кунашакском муниципальном округе  на 2030 год - (для служебного пользования).</w:t>
        <w:br/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Снижение заболеваемости гепатитом C в Кунашакском муниципальном округе на 2030 год составит 36,12 человека на 100 тыс. населения.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Снижение заболеваемости ВИЧ в Кунашакском муниципальном округе на 2030 год составит 59,3 человека на 100 тыс. населения.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Снижение заболеваемости туберкулезом в Кунашакском муниципальном округе на 2030 год составит 28,9 человека на 100 тыс. населения.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Смертность населения от новообразований в Кунашакском муниципальном округе на 2030 год составит 214,3 человека на 100 тыс. населения.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Смертность населения от болезней системы кровообращения в Кунашакском муниципальном округе  на 2030 год составит 470,5 человека на 100 тыс. населения.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Охват населения иммунизацией в рамках Национального календаря профилактических прививок не менее 95 процентов от подлежащих иммунизации в Кунашакском муниципальном округе на 2030 год составит 95 процентов.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Количество (доля) граждан, ведущих здоровый образ жизни в Кунашакском муниципальном округе, по итогам 2022 года составило 4,6 процента. Значение показателя на 2023 год составляет 4,6 процента, на 2030 год составляет 7,5 процента.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Охват граждан исследованием глюкозы натощак в Кунашакском муниципальном округе на 2024 год составил 62,1 процента.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Суммарный коэффициент рождаемости в Кунашакском муниципальном округе на 2030 год составит 1,570 единицы (число детей в расчете на одну женщину).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Снижение суммарной продолжительности временной нетрудоспособности по заболеванию работающих граждан в Кунашакском муниципальном округе на 2030 год составит 85 процентов.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Для достижения позитивных демографических трендов планируется реализация комплекса мер по снижению смертности населения, росту ожидаемой продолжительности жизни.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В рамках </w:t>
      </w:r>
      <w:r>
        <w:fldChar w:fldCharType="begin"/>
      </w:r>
      <w:r>
        <w:rPr>
          <w:rStyle w:val="Hyperlink"/>
        </w:rPr>
        <w:instrText xml:space="preserve"> HYPERLINK "https://docs.cntd.ru/document/565341150" \l "7D20K3"</w:instrText>
      </w:r>
      <w:r>
        <w:rPr>
          <w:rStyle w:val="Hyperlink"/>
        </w:rPr>
        <w:fldChar w:fldCharType="separate"/>
      </w:r>
      <w:r>
        <w:rPr>
          <w:rStyle w:val="Hyperlink"/>
        </w:rPr>
        <w:t>Указа Президента Российской Федерации от 21 июля 2020 года N 474 "О национальных целях развития Российской Федерации на период до 2030 года" (действовал до 07.05.2024 г., далее именуется - Указ 474</w:t>
      </w:r>
      <w:r>
        <w:rPr>
          <w:rStyle w:val="Hyperlink"/>
        </w:rPr>
        <w:fldChar w:fldCharType="end"/>
      </w:r>
      <w:r>
        <w:rPr/>
        <w:t>), </w:t>
      </w:r>
      <w:r>
        <w:fldChar w:fldCharType="begin"/>
      </w:r>
      <w:r>
        <w:rPr>
          <w:rStyle w:val="Hyperlink"/>
        </w:rPr>
        <w:instrText xml:space="preserve"> HYPERLINK "https://docs.cntd.ru/document/1305894187" \l "64S0IJ"</w:instrText>
      </w:r>
      <w:r>
        <w:rPr>
          <w:rStyle w:val="Hyperlink"/>
        </w:rPr>
        <w:fldChar w:fldCharType="separate"/>
      </w:r>
      <w:r>
        <w:rPr>
          <w:rStyle w:val="Hyperlink"/>
        </w:rPr>
        <w:t>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</w:t>
      </w:r>
      <w:r>
        <w:rPr>
          <w:rStyle w:val="Hyperlink"/>
        </w:rPr>
        <w:fldChar w:fldCharType="end"/>
      </w:r>
      <w:r>
        <w:rPr/>
        <w:t xml:space="preserve"> (действует с 07.05.2024 г., далее именуется - Указ 309) планируется: 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создание и развитие медицинской инфраструктуры, в том числе в малонаселенных пунктах;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совершенствование системы оказания медицинской помощи лицам с болезнями системы кровообращения, злокачественными новообразованиями, а также детям;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ликвидация дефицита медицинских работников;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развитие информационных технологий в здравоохранении;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реализация мероприятий, направленных на увеличение доли граждан, ведущих здоровый образ жизни;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повышение качества и доступности медицинской помощи для лиц старше трудоспособного возраста.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Будет продолжена реализация </w:t>
      </w:r>
      <w:r>
        <w:fldChar w:fldCharType="begin"/>
      </w:r>
      <w:r>
        <w:rPr>
          <w:rStyle w:val="Hyperlink"/>
        </w:rPr>
        <w:instrText xml:space="preserve"> HYPERLINK "https://docs.cntd.ru/document/554815875" \l "6580IP"</w:instrText>
      </w:r>
      <w:r>
        <w:rPr>
          <w:rStyle w:val="Hyperlink"/>
        </w:rPr>
        <w:fldChar w:fldCharType="separate"/>
      </w:r>
      <w:r>
        <w:rPr>
          <w:rStyle w:val="Hyperlink"/>
        </w:rPr>
        <w:t>Стратегии развития здравоохранения в Российской Федерации на период до 2025 года</w:t>
      </w:r>
      <w:r>
        <w:rPr>
          <w:rStyle w:val="Hyperlink"/>
        </w:rPr>
        <w:fldChar w:fldCharType="end"/>
      </w:r>
      <w:r>
        <w:rPr/>
        <w:t>, утвержденной </w:t>
      </w:r>
      <w:r>
        <w:fldChar w:fldCharType="begin"/>
      </w:r>
      <w:r>
        <w:rPr>
          <w:rStyle w:val="Hyperlink"/>
        </w:rPr>
        <w:instrText xml:space="preserve"> HYPERLINK "https://docs.cntd.ru/document/554815875" \l "64U0IK"</w:instrText>
      </w:r>
      <w:r>
        <w:rPr>
          <w:rStyle w:val="Hyperlink"/>
        </w:rPr>
        <w:fldChar w:fldCharType="separate"/>
      </w:r>
      <w:r>
        <w:rPr>
          <w:rStyle w:val="Hyperlink"/>
        </w:rPr>
        <w:t>Указом Президента Российской Федерации от 6 июня 2019 г. N 254 "О Стратегии развития здравоохранения в Российской Федерации на период до 2025 года"</w:t>
      </w:r>
      <w:r>
        <w:rPr>
          <w:rStyle w:val="Hyperlink"/>
        </w:rPr>
        <w:fldChar w:fldCharType="end"/>
      </w:r>
      <w:r>
        <w:rPr/>
        <w:t xml:space="preserve">. 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В Стратегии развития здравоохранения в Российской Федерации на период до 2025 года определены приоритетные направления по решению основных задач развития системы здравоохранения, предусматривающие в том числе: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строительство и реконструкцию объектов здравоохранения;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оснащение медицинских организаций современным лабораторным оборудованием;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обеспечение оптимальной доступности для граждан (включая граждан, проживающих в труднодоступных местностях) первичной медико-санитарной помощи, совершенствование санитарно-авиационной эвакуации;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дальнейшее развитие высокотехнологичной медицинской помощи.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Ожидаемыми результатами реализации указанных мероприятий государственной программы к 2030 году будут снижение смертности от новообразований - до 214,3 человека на 100 тыс. населения, от болезней системы кровообращения - до 470,5 человека на 100 тыс. населения, что в совокупности позволит достичь снижения к 2030 году смертности населения от всех причин.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  <w:t xml:space="preserve">Повышение ожидаемой продолжительности жизни к 2030 году планируется достичь, в частности, путем снижения заболеваемости туберкулезом - до 28,9 человека на 100 тыс. населения, гепатитом C - до 36,12 человека на 100 тыс. населения, вирусом иммунодефицита человека - до 59,3 человека на 100 тыс. населения. 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Повышение удовлетворенности населения медицинской помощью будет достигнуто путем реализации мероприятий, направленных, в частности, на увеличение доли лиц с болезнями системы кровообращения, состоящих под диспансерным наблюдением и получивших в текущем году медицинские услуги в рамках диспансерного наблюдения, в общем числе пациентов с болезнями системы кровообращения, состоящих под диспансерным наблюдением, доли лиц с онкологическими заболеваниями, прошедших обследование и (или) лечение в текущем году, в общем числе состоящих под диспансерным наблюдением, и других.</w:t>
      </w:r>
    </w:p>
    <w:p>
      <w:pPr>
        <w:pStyle w:val="ConsPlusNormal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Описание приоритетов и целей муниципальной политики в сфере реализации муниципальной программы</w:t>
      </w:r>
    </w:p>
    <w:p>
      <w:pPr>
        <w:pStyle w:val="ConsPlusNormal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Приоритеты государственной политики в сфере реализации государственной программы определены в том числе </w:t>
      </w:r>
      <w:r>
        <w:fldChar w:fldCharType="begin"/>
      </w:r>
      <w:r>
        <w:rPr>
          <w:rStyle w:val="Hyperlink"/>
        </w:rPr>
        <w:instrText xml:space="preserve"> HYPERLINK "https://docs.cntd.ru/document/553133071" \l "64U0IK"</w:instrText>
      </w:r>
      <w:r>
        <w:rPr>
          <w:rStyle w:val="Hyperlink"/>
        </w:rPr>
        <w:fldChar w:fldCharType="separate"/>
      </w:r>
      <w:r>
        <w:rPr>
          <w:rStyle w:val="Hyperlink"/>
        </w:rPr>
        <w:t>Стратегией социально-экономического развития Челябинской области на период до 2035 года</w:t>
      </w:r>
      <w:r>
        <w:rPr>
          <w:rStyle w:val="Hyperlink"/>
        </w:rPr>
        <w:fldChar w:fldCharType="end"/>
      </w:r>
      <w:r>
        <w:rPr/>
        <w:t>, утвержденной </w:t>
      </w:r>
      <w:r>
        <w:fldChar w:fldCharType="begin"/>
      </w:r>
      <w:r>
        <w:rPr>
          <w:rStyle w:val="Hyperlink"/>
        </w:rPr>
        <w:instrText xml:space="preserve"> HYPERLINK "https://docs.cntd.ru/document/553133071" \l "64U0IK"</w:instrText>
      </w:r>
      <w:r>
        <w:rPr>
          <w:rStyle w:val="Hyperlink"/>
        </w:rPr>
        <w:fldChar w:fldCharType="separate"/>
      </w:r>
      <w:r>
        <w:rPr>
          <w:rStyle w:val="Hyperlink"/>
        </w:rPr>
        <w:t>постановлением Законодательного Собрания Челябинской области от 31.01.2019 N 1748 "Об утверждении Стратегии социально-экономического развития Челябинской области на период до 2035 года"</w:t>
      </w:r>
      <w:r>
        <w:rPr>
          <w:rStyle w:val="Hyperlink"/>
        </w:rPr>
        <w:fldChar w:fldCharType="end"/>
      </w:r>
      <w:r>
        <w:rPr/>
        <w:t xml:space="preserve"> (далее именуется - Стратегия). Стратегическими приоритетами являются "качественное здравоохранение", "медицинский кластер", "кадры для здравоохранения", "здоровое поколение", целями которых являются создание условий для обеспечения доступной и качественной медицинской помощи населению Кунашакского муниципального округа в целях увеличения ожидаемой продолжительности жизни при рождении, снижения уровня смертности и инвалидности населения; соблюдение прав граждан в сфере охраны здоровья и обеспечение связанных с данными правами государственных гарантий; повышение обеспеченности населения Кунашакского муниципального округа качественными, безопасными и эффективными лекарственными препаратами, изделиями медицинского назначения и специализированными продуктами лечебного питания; обеспечение населения необходимым числом медицинских работников и ликвидация кадрового дефицита в медицинских организациях; увеличение доли граждан, ведущих здоровый образ жизни. 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textAlignment w:val="baseline"/>
        <w:rPr/>
      </w:pPr>
      <w:r>
        <w:rPr/>
        <w:t xml:space="preserve">Кроме того, в рамках Программы мероприятия направлены: 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на достижение национальной цели "Сохранение населения, укрепление здоровья и повышение благополучия людей" и достижение индикативного показателя "Повышение ожидаемой продолжительности жизни до 78 лет" в соответствии с </w:t>
      </w:r>
      <w:r>
        <w:fldChar w:fldCharType="begin"/>
      </w:r>
      <w:r>
        <w:rPr>
          <w:rStyle w:val="Hyperlink"/>
        </w:rPr>
        <w:instrText xml:space="preserve"> HYPERLINK "https://docs.cntd.ru/document/556183184" \l "7D20K3"</w:instrText>
      </w:r>
      <w:r>
        <w:rPr>
          <w:rStyle w:val="Hyperlink"/>
        </w:rPr>
        <w:fldChar w:fldCharType="separate"/>
      </w:r>
      <w:r>
        <w:rPr>
          <w:rStyle w:val="Hyperlink"/>
        </w:rPr>
        <w:t>постановлением Правительства Российской Федерации от 26.12.2017 г. N 1640 "Об утверждении государственной программы Российской Федерации "Развитие здравоохранения", с </w:t>
      </w:r>
      <w:r>
        <w:rPr>
          <w:rStyle w:val="Hyperlink"/>
        </w:rPr>
        <w:fldChar w:fldCharType="end"/>
      </w:r>
      <w:r>
        <w:rPr/>
        <w:t>Единым планом по достижению национальных целей развития Российской Федерации на период до 2024 года и на плановый период до 2030 года, утвержденного </w:t>
      </w:r>
      <w:r>
        <w:fldChar w:fldCharType="begin"/>
      </w:r>
      <w:r>
        <w:rPr>
          <w:rStyle w:val="Hyperlink"/>
        </w:rPr>
        <w:instrText xml:space="preserve"> HYPERLINK "https://docs.cntd.ru/document/608894613" \l "64S0IJ"</w:instrText>
      </w:r>
      <w:r>
        <w:rPr>
          <w:rStyle w:val="Hyperlink"/>
        </w:rPr>
        <w:fldChar w:fldCharType="separate"/>
      </w:r>
      <w:r>
        <w:rPr>
          <w:rStyle w:val="Hyperlink"/>
        </w:rPr>
        <w:t>распоряжением Правительства Российской Федерации от 01.10.2021 г. N 2765-р</w:t>
      </w:r>
      <w:r>
        <w:rPr>
          <w:rStyle w:val="Hyperlink"/>
        </w:rPr>
        <w:fldChar w:fldCharType="end"/>
      </w:r>
      <w:r>
        <w:rPr/>
        <w:t>;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textAlignment w:val="baseline"/>
        <w:rPr/>
      </w:pPr>
      <w:r>
        <w:rPr/>
        <w:t xml:space="preserve">на достижение национальной цели "Сохранение населения, укрепление здоровья и повышение благополучия людей, поддержка семьи" и показателей: "Увеличение ожидаемой продолжительности жизни до 78 лет к 2030 году и до 81 года к 2036 году", "Суммарный коэффициент рождаемости" в соответствии с Единым планом по достижению национальных целей развития Российской Федерации до 2030 года и на перспективу до 2036 года, утвержденный резолюцией Правительства Российской Федерации от 30.12.2024 г. N ММ-П13-47086 (далее именуется - Единый план). 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textAlignment w:val="baseline"/>
        <w:rPr/>
      </w:pPr>
      <w:r>
        <w:rPr>
          <w:rFonts w:eastAsia="Times New Roman" w:cs="Times New Roman"/>
          <w:sz w:val="24"/>
          <w:szCs w:val="24"/>
          <w:lang w:eastAsia="ru-RU"/>
        </w:rPr>
        <w:t>1. "Совершенствование оказания медицинской помощи, включая профилактику и диагностику заболеваний, и формирование здорового образа жизни";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2. "Развитие медицинской реабилитации и санаторно-курортного лечения, в том числе детей";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3. "Развитие кадровых ресурсов в здравоохранении";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4. "Развитие международных отношений в сфере охраны здоровья";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5. "Информационные технологии и управление развитием отрасли".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Кроме того, в рамках Программы мероприятия оказывают влияние на достижение национальной цели "Сохранение населения, здоровье и благополучие людей" в соответствии с </w:t>
      </w:r>
      <w:r>
        <w:fldChar w:fldCharType="begin"/>
      </w:r>
      <w:r>
        <w:rPr>
          <w:rStyle w:val="Hyperlink"/>
        </w:rPr>
        <w:instrText xml:space="preserve"> HYPERLINK "https://docs.cntd.ru/document/556183184" \l "7D20K3"</w:instrText>
      </w:r>
      <w:r>
        <w:rPr>
          <w:rStyle w:val="Hyperlink"/>
        </w:rPr>
        <w:fldChar w:fldCharType="separate"/>
      </w:r>
      <w:r>
        <w:rPr>
          <w:rStyle w:val="Hyperlink"/>
        </w:rPr>
        <w:t>постановлением Правительства Российской Федерации от 26.12.2017 г. N 1640 "Об утверждении государственной программы Российской Федерации "Развитие здравоохранения"</w:t>
      </w:r>
      <w:r>
        <w:rPr>
          <w:rStyle w:val="Hyperlink"/>
        </w:rPr>
        <w:fldChar w:fldCharType="end"/>
      </w:r>
      <w:r>
        <w:rPr/>
        <w:t> и достижение индикативного показателя "Повышение ожидаемой продолжительности жизни до 78 лет" в соответствии с Единым планом по достижению национальных целей развития Российской Федерации на период до 2024 года и на плановый период до 2030 года, утвержденного </w:t>
      </w:r>
      <w:r>
        <w:fldChar w:fldCharType="begin"/>
      </w:r>
      <w:r>
        <w:rPr>
          <w:rStyle w:val="Hyperlink"/>
        </w:rPr>
        <w:instrText xml:space="preserve"> HYPERLINK "https://docs.cntd.ru/document/608894613" \l "64S0IJ"</w:instrText>
      </w:r>
      <w:r>
        <w:rPr>
          <w:rStyle w:val="Hyperlink"/>
        </w:rPr>
        <w:fldChar w:fldCharType="separate"/>
      </w:r>
      <w:r>
        <w:rPr>
          <w:rStyle w:val="Hyperlink"/>
        </w:rPr>
        <w:t>распоряжением Правительства Российской Федерации от 01.10.2021 г. N 2765-р</w:t>
      </w:r>
      <w:r>
        <w:rPr>
          <w:rStyle w:val="Hyperlink"/>
        </w:rPr>
        <w:fldChar w:fldCharType="end"/>
      </w:r>
      <w:r>
        <w:rPr/>
        <w:t xml:space="preserve">. 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textAlignment w:val="baseline"/>
        <w:rPr/>
      </w:pPr>
      <w:r>
        <w:rPr/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Период реализации государственной программы (сроки и этапы): I этап - 2020 - 2023 гг., II этап - 2024 - 2030 гг.</w:t>
      </w:r>
    </w:p>
    <w:p>
      <w:pPr>
        <w:pStyle w:val="ConsPlusNormal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Сведения о взаимоувязке со стратегическими приоритетами, целями и показателями государственных программ</w:t>
      </w:r>
    </w:p>
    <w:p>
      <w:pPr>
        <w:pStyle w:val="formattext"/>
        <w:spacing w:beforeAutospacing="0" w:before="0" w:afterAutospacing="0" w:after="0"/>
        <w:textAlignment w:val="baseline"/>
        <w:rPr/>
      </w:pPr>
      <w:r>
        <w:rPr/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Цель, задачи, сроки реализации, стратегические приоритеты и показатели Программы сформированы с учетом следующих документов: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Указ 474, Указ 309;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fldChar w:fldCharType="begin"/>
      </w:r>
      <w:r>
        <w:rPr>
          <w:rStyle w:val="Hyperlink"/>
        </w:rPr>
        <w:instrText xml:space="preserve"> HYPERLINK "https://docs.cntd.ru/document/573522172" \l "64U0IK"</w:instrText>
      </w:r>
      <w:r>
        <w:rPr>
          <w:rStyle w:val="Hyperlink"/>
        </w:rPr>
        <w:fldChar w:fldCharType="separate"/>
      </w:r>
      <w:r>
        <w:rPr>
          <w:rStyle w:val="Hyperlink"/>
        </w:rPr>
        <w:t>Указ Президента Российской Федерации от 4 февраля 2021 года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(действовал до 27.11.2024 г., далее именуется - Указ 68), У</w:t>
      </w:r>
      <w:r>
        <w:rPr>
          <w:rStyle w:val="Hyperlink"/>
        </w:rPr>
        <w:fldChar w:fldCharType="end"/>
      </w:r>
      <w:r>
        <w:fldChar w:fldCharType="begin"/>
      </w:r>
      <w:r>
        <w:rPr>
          <w:rStyle w:val="Hyperlink"/>
        </w:rPr>
        <w:instrText xml:space="preserve"> HYPERLINK "https://docs.cntd.ru/document/1310303214" \l "64S0IJ"</w:instrText>
      </w:r>
      <w:r>
        <w:rPr>
          <w:rStyle w:val="Hyperlink"/>
        </w:rPr>
        <w:fldChar w:fldCharType="separate"/>
      </w:r>
      <w:r>
        <w:rPr>
          <w:rStyle w:val="Hyperlink"/>
        </w:rPr>
        <w:t>каз Президента Российской Федерации от 28 ноября 2024 года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</w:r>
      <w:r>
        <w:rPr>
          <w:rStyle w:val="Hyperlink"/>
        </w:rPr>
        <w:fldChar w:fldCharType="end"/>
      </w:r>
      <w:r>
        <w:rPr/>
        <w:t xml:space="preserve"> (действует с 28.11.2024 г., далее именуется - Указ 1014); 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fldChar w:fldCharType="begin"/>
      </w:r>
      <w:r>
        <w:rPr>
          <w:rStyle w:val="Hyperlink"/>
        </w:rPr>
        <w:instrText xml:space="preserve"> HYPERLINK "https://docs.cntd.ru/document/554815875" \l "6580IP"</w:instrText>
      </w:r>
      <w:r>
        <w:rPr>
          <w:rStyle w:val="Hyperlink"/>
        </w:rPr>
        <w:fldChar w:fldCharType="separate"/>
      </w:r>
      <w:r>
        <w:rPr>
          <w:rStyle w:val="Hyperlink"/>
        </w:rPr>
        <w:t>Стратегия развития здравоохранения в Российской Федерации на период до 2025 года</w:t>
      </w:r>
      <w:r>
        <w:rPr>
          <w:rStyle w:val="Hyperlink"/>
        </w:rPr>
        <w:fldChar w:fldCharType="end"/>
      </w:r>
      <w:r>
        <w:rPr/>
        <w:t>, утвержденной </w:t>
      </w:r>
      <w:r>
        <w:fldChar w:fldCharType="begin"/>
      </w:r>
      <w:r>
        <w:rPr>
          <w:rStyle w:val="Hyperlink"/>
        </w:rPr>
        <w:instrText xml:space="preserve"> HYPERLINK "https://docs.cntd.ru/document/554815875" \l "64U0IK"</w:instrText>
      </w:r>
      <w:r>
        <w:rPr>
          <w:rStyle w:val="Hyperlink"/>
        </w:rPr>
        <w:fldChar w:fldCharType="separate"/>
      </w:r>
      <w:r>
        <w:rPr>
          <w:rStyle w:val="Hyperlink"/>
        </w:rPr>
        <w:t>Указом Президента Российской Федерации от 6 июня 2019 г. N 254 "О Стратегии развития здравоохранения в Российской Федерации на период до 2025 года"</w:t>
      </w:r>
      <w:r>
        <w:rPr>
          <w:rStyle w:val="Hyperlink"/>
        </w:rPr>
        <w:fldChar w:fldCharType="end"/>
      </w:r>
      <w:r>
        <w:rPr/>
        <w:t>;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fldChar w:fldCharType="begin"/>
      </w:r>
      <w:r>
        <w:rPr>
          <w:rStyle w:val="Hyperlink"/>
        </w:rPr>
        <w:instrText xml:space="preserve"> HYPERLINK "https://docs.cntd.ru/document/556183184" \l "7D20K3"</w:instrText>
      </w:r>
      <w:r>
        <w:rPr>
          <w:rStyle w:val="Hyperlink"/>
        </w:rPr>
        <w:fldChar w:fldCharType="separate"/>
      </w:r>
      <w:r>
        <w:rPr>
          <w:rStyle w:val="Hyperlink"/>
        </w:rPr>
        <w:t>Постановление Правительства Российской Федерации от 26.12.2017 г. N 1640 "Об утверждении государственной программы Российской Федерации "</w:t>
      </w:r>
      <w:r>
        <w:rPr>
          <w:rStyle w:val="Hyperlink"/>
        </w:rPr>
        <w:fldChar w:fldCharType="end"/>
      </w:r>
      <w:r>
        <w:rPr/>
        <w:t xml:space="preserve">Развитие здравоохранения" (далее именуется - постановление 1640); 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Единый план по достижению национальных целей развития Российской Федерации на период до 2024 года и на плановый период до 2030 года, утвержденного </w:t>
      </w:r>
      <w:r>
        <w:fldChar w:fldCharType="begin"/>
      </w:r>
      <w:r>
        <w:rPr>
          <w:rStyle w:val="Hyperlink"/>
        </w:rPr>
        <w:instrText xml:space="preserve"> HYPERLINK "https://docs.cntd.ru/document/608894613" \l "64S0IJ"</w:instrText>
      </w:r>
      <w:r>
        <w:rPr>
          <w:rStyle w:val="Hyperlink"/>
        </w:rPr>
        <w:fldChar w:fldCharType="separate"/>
      </w:r>
      <w:r>
        <w:rPr>
          <w:rStyle w:val="Hyperlink"/>
        </w:rPr>
        <w:t>распоряжением Правительства Российской Федерации от 01.10.2021 г. N 2765-р</w:t>
      </w:r>
      <w:r>
        <w:rPr>
          <w:rStyle w:val="Hyperlink"/>
        </w:rPr>
        <w:fldChar w:fldCharType="end"/>
      </w:r>
      <w:r>
        <w:rPr/>
        <w:t xml:space="preserve">; 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fldChar w:fldCharType="begin"/>
      </w:r>
      <w:r>
        <w:rPr>
          <w:rStyle w:val="Hyperlink"/>
        </w:rPr>
        <w:instrText xml:space="preserve"> HYPERLINK "https://docs.cntd.ru/document/553133071" \l "64U0IK"</w:instrText>
      </w:r>
      <w:r>
        <w:rPr>
          <w:rStyle w:val="Hyperlink"/>
        </w:rPr>
        <w:fldChar w:fldCharType="separate"/>
      </w:r>
      <w:r>
        <w:rPr>
          <w:rStyle w:val="Hyperlink"/>
        </w:rPr>
        <w:t>Стратегия социально-экономического развития Челябинской области на период до 2035 года</w:t>
      </w:r>
      <w:r>
        <w:rPr>
          <w:rStyle w:val="Hyperlink"/>
        </w:rPr>
        <w:fldChar w:fldCharType="end"/>
      </w:r>
      <w:r>
        <w:rPr/>
        <w:t>, утвержденной </w:t>
      </w:r>
      <w:r>
        <w:fldChar w:fldCharType="begin"/>
      </w:r>
      <w:r>
        <w:rPr>
          <w:rStyle w:val="Hyperlink"/>
        </w:rPr>
        <w:instrText xml:space="preserve"> HYPERLINK "https://docs.cntd.ru/document/553133071" \l "64U0IK"</w:instrText>
      </w:r>
      <w:r>
        <w:rPr>
          <w:rStyle w:val="Hyperlink"/>
        </w:rPr>
        <w:fldChar w:fldCharType="separate"/>
      </w:r>
      <w:r>
        <w:rPr>
          <w:rStyle w:val="Hyperlink"/>
        </w:rPr>
        <w:t>постановлением Законодательного Собрания Челябинской области от 31.01.2019 г. N 1748 "Об утверждении Стратегии социально-экономического развития Челябинской области на период до 2035 года"</w:t>
      </w:r>
      <w:r>
        <w:rPr>
          <w:rStyle w:val="Hyperlink"/>
        </w:rPr>
        <w:fldChar w:fldCharType="end"/>
      </w:r>
      <w:r>
        <w:rPr/>
        <w:t xml:space="preserve">.  </w:t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</w:r>
    </w:p>
    <w:p>
      <w:pPr>
        <w:pStyle w:val="formattext"/>
        <w:spacing w:beforeAutospacing="0" w:before="0" w:afterAutospacing="0" w:after="0"/>
        <w:ind w:firstLine="480"/>
        <w:textAlignment w:val="baseline"/>
        <w:rPr/>
      </w:pPr>
      <w:r>
        <w:rPr/>
        <w:t>Основные показатели перечислены в разделе 2 государственной программы:</w:t>
      </w:r>
    </w:p>
    <w:p>
      <w:pPr>
        <w:pStyle w:val="formattext"/>
        <w:spacing w:beforeAutospacing="0" w:before="0" w:afterAutospacing="0" w:after="0"/>
        <w:textAlignment w:val="baseline"/>
        <w:rPr/>
      </w:pPr>
      <w:r>
        <w:rPr/>
        <w:t>-ожидаемая продолжительность жизни при рождении;</w:t>
        <w:br/>
        <w:t>-снижение заболеваемости гепатитом C;</w:t>
        <w:br/>
        <w:t>-снижение заболеваемости ВИЧ;</w:t>
        <w:br/>
        <w:t>-снижение заболеваемости туберкулезом;</w:t>
        <w:br/>
        <w:t>-смертность от всех причин;</w:t>
        <w:br/>
        <w:t>-смертность от новообразований;</w:t>
        <w:br/>
        <w:t>-смертность населения от болезней системы кровообращения;</w:t>
        <w:br/>
        <w:t>-охват населения иммунизацией в рамках Национального календаря профилактических прививок не менее 95 процентов от подлежащих иммунизации;</w:t>
        <w:br/>
        <w:t>-количество (доля) граждан, ведущих здоровый образ жизни;</w:t>
        <w:br/>
        <w:t>-охват граждан исследованием глюкозы натощак;</w:t>
        <w:br/>
        <w:t>-улучшение материально-технической базы учреждений здравоохранения;</w:t>
        <w:br/>
        <w:t>-суммарный коэффициент рождаемости;</w:t>
        <w:br/>
        <w:t>-снижение суммарной продолжительности временной нетрудоспособности по заболеванию работающих граждан.</w:t>
        <w:br/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  <w:t>Большинство показателей Программы декомпозированы Министерством здравоохранения Российской Федерацией и доведены до Челябинской области, в свою очередь основными показателями Программы необходимо руководствоваться для реализации на территории Кунашакского муниципального округа.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IV.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>
          <w:shd w:fill="FFFFFF" w:val="clear"/>
        </w:rPr>
        <w:t>1. Направление (подпрограмма) "Совершенствование оказания медицинской помощи, включая профилактику и диагностику заболеваний, и формирование здорового образа жизни"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В рамках регионального проекта "Развитие системы оказания первичной медико-санитарной помощи" реализуются следующие задачи:</w:t>
        <w:br/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гражданам, проживающим в населенных пунктах с численностью населения до 2000 человек стала доступна первичная медико-санитарная помощь посредством охвата фельдшерскими пунктами (ФП), фельдшерско-акушерскими пунктами (ФАП) и врачебными амбулаториями (ВА), а также медицинская помощь с использованием мобильных комплексов;</w:t>
        <w:br/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гражданам предоставлены возможности для оценки своего здоровья путем прохождения профилактического медицинского осмотра и (или) диспансеризации;</w:t>
        <w:br/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увеличена доступность для граждан поликлиник и поликлинических подразделений, внедривших стандарты и правила "Новой модели организации оказания медицинской помощи";</w:t>
        <w:br/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В рамках регионального проекта "Борьба с гепатитом C и минимизация рисков распространения данного заболевания" реализуется следующая задача:</w:t>
        <w:br/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к концу 2030 года будет обеспечено снижение заболеваемости хроническим вирусным гепатитом C не менее чем на 15 %, смертности не менее чем на 20 %.</w:t>
      </w:r>
    </w:p>
    <w:p>
      <w:pPr>
        <w:pStyle w:val="formattext"/>
        <w:spacing w:beforeAutospacing="0" w:before="0" w:afterAutospacing="0" w:after="0"/>
        <w:jc w:val="both"/>
        <w:textAlignment w:val="baseline"/>
        <w:rPr/>
      </w:pPr>
      <w:r>
        <w:rPr/>
        <w:br/>
        <w:t xml:space="preserve">                     В рамках комплекса процессных мероприятий "Обеспечение приоритетов профилактики и формирование здорового образа жизни у населения Челябинской области, развитие первичной медико-санитарной помощи, предупреждение и борьба с социально значимыми заболеваниями" реализуются следующие задачи: </w:t>
      </w:r>
    </w:p>
    <w:p>
      <w:pPr>
        <w:pStyle w:val="formattext"/>
        <w:spacing w:beforeAutospacing="0" w:before="0" w:afterAutospacing="0" w:after="0"/>
        <w:ind w:firstLine="480"/>
        <w:jc w:val="both"/>
        <w:textAlignment w:val="baseline"/>
        <w:rPr/>
      </w:pPr>
      <w:r>
        <w:rPr/>
      </w:r>
    </w:p>
    <w:p>
      <w:pPr>
        <w:pStyle w:val="formattext"/>
        <w:spacing w:beforeAutospacing="0" w:before="0" w:afterAutospacing="0" w:after="0"/>
        <w:jc w:val="both"/>
        <w:textAlignment w:val="baseline"/>
        <w:rPr/>
      </w:pPr>
      <w:r>
        <w:rPr/>
        <w:t xml:space="preserve">- повышение доступности первичной медико-санитарной помощи; </w:t>
      </w:r>
    </w:p>
    <w:p>
      <w:pPr>
        <w:pStyle w:val="formattext"/>
        <w:spacing w:beforeAutospacing="0" w:before="0" w:afterAutospacing="0" w:after="0"/>
        <w:jc w:val="both"/>
        <w:textAlignment w:val="baseline"/>
        <w:rPr/>
      </w:pPr>
      <w:r>
        <w:rPr/>
        <w:t xml:space="preserve">- снижение уровня заболеваемости инфекционными заболеваниями; </w:t>
      </w:r>
    </w:p>
    <w:p>
      <w:pPr>
        <w:pStyle w:val="formattext"/>
        <w:spacing w:beforeAutospacing="0" w:before="0" w:afterAutospacing="0" w:after="0"/>
        <w:jc w:val="both"/>
        <w:textAlignment w:val="baseline"/>
        <w:rPr/>
      </w:pPr>
      <w:r>
        <w:rPr/>
        <w:t>- снижение уровня заболеваемости туберкулезом;</w:t>
      </w:r>
    </w:p>
    <w:p>
      <w:pPr>
        <w:pStyle w:val="formattext"/>
        <w:spacing w:beforeAutospacing="0" w:before="0" w:afterAutospacing="0" w:after="0"/>
        <w:jc w:val="both"/>
        <w:textAlignment w:val="baseline"/>
        <w:rPr/>
      </w:pPr>
      <w:r>
        <w:rPr/>
        <w:t xml:space="preserve">- противодействие распространению ВИЧ-инфекции; </w:t>
      </w:r>
    </w:p>
    <w:p>
      <w:pPr>
        <w:pStyle w:val="formattext"/>
        <w:spacing w:beforeAutospacing="0" w:before="0" w:afterAutospacing="0" w:after="0"/>
        <w:jc w:val="both"/>
        <w:textAlignment w:val="baseline"/>
        <w:rPr/>
      </w:pPr>
      <w:r>
        <w:rPr/>
        <w:t xml:space="preserve">- организация оказания медицинской помощи по профилям "психиатрия-наркология" и "психиатрия". </w:t>
      </w:r>
    </w:p>
    <w:p>
      <w:pPr>
        <w:pStyle w:val="formattext"/>
        <w:spacing w:beforeAutospacing="0" w:before="0" w:afterAutospacing="0" w:after="0"/>
        <w:ind w:firstLine="480"/>
        <w:jc w:val="right"/>
        <w:textAlignment w:val="baseline"/>
        <w:rPr/>
      </w:pPr>
      <w:r>
        <w:rPr/>
      </w:r>
    </w:p>
    <w:p>
      <w:pPr>
        <w:pStyle w:val="formattext"/>
        <w:spacing w:beforeAutospacing="0" w:before="0" w:afterAutospacing="0" w:after="0"/>
        <w:ind w:firstLine="480"/>
        <w:jc w:val="right"/>
        <w:textAlignment w:val="baseline"/>
        <w:rPr/>
      </w:pPr>
      <w:r>
        <w:rPr/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Развитие здравоохранения Кунашакского муниципального округа на 2026 - 2028 годы</w:t>
      </w:r>
      <w:r>
        <w:rPr>
          <w:rFonts w:cs="Times New Roman" w:ascii="Times New Roman" w:hAnsi="Times New Roman"/>
          <w:sz w:val="24"/>
          <w:szCs w:val="24"/>
        </w:rPr>
        <w:t xml:space="preserve"> "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232" w:type="dxa"/>
        <w:jc w:val="left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684"/>
        <w:gridCol w:w="10547"/>
      </w:tblGrid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главы округа по социальным вопросам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Кунашакского муниципального округа;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/>
                <w:sz w:val="24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Управление социальной защиты населения;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2026-2028г.г.</w:t>
            </w:r>
          </w:p>
        </w:tc>
      </w:tr>
      <w:tr>
        <w:trPr>
          <w:trHeight w:val="1033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Цель 1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улучшение качества и повышение доступности медицинских услуг, оказываемых медицинскими организациями с современной материально-технической базой, доступности качественных, эффективных и безопасных лекарственных препаратов, изделий медицинского назначения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1 "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Направление (подпрограмма) "Совершенствование оказания медицинской помощи, включая профилактику и диагностику заболеваний, и формирование здорового образа жизни";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финансового обеспечения за весь период реализации по источникам финансирования*  (тыс. руб.)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финансового обеспечения за счет средств бюджета Кунашакского муниципального округа за весь период реализации (5 000,00 тыс. руб.)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>
                <w:shd w:fill="FFFFFF" w:val="clear"/>
              </w:rPr>
              <w:t>цель - сохранение населения, укрепление здоровья и повышение благополучия людей, поддержка семьи/государственная программа Российской Федерации "Развитие здравоохранения"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4" w:name="P530"/>
      <w:bookmarkStart w:id="5" w:name="P530"/>
      <w:bookmarkEnd w:id="5"/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Показатели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384" w:type="dxa"/>
        <w:jc w:val="left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92"/>
        <w:gridCol w:w="2267"/>
        <w:gridCol w:w="1758"/>
        <w:gridCol w:w="2776"/>
        <w:gridCol w:w="1053"/>
        <w:gridCol w:w="1077"/>
        <w:gridCol w:w="1080"/>
        <w:gridCol w:w="1134"/>
        <w:gridCol w:w="10"/>
        <w:gridCol w:w="2426"/>
        <w:gridCol w:w="9"/>
      </w:tblGrid>
      <w:tr>
        <w:trPr/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Ответственный за достижение показателя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17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 xml:space="preserve"> </w:t>
            </w:r>
            <w:r>
              <w:rPr>
                <w:rFonts w:eastAsia="" w:eastAsiaTheme="minorEastAsia"/>
                <w:sz w:val="24"/>
                <w:szCs w:val="24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2027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2029 год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3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8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  <w:lang w:val="en-US"/>
              </w:rPr>
            </w:pPr>
            <w:r>
              <w:rPr>
                <w:rFonts w:eastAsia="" w:eastAsiaTheme="minorEastAsia"/>
                <w:sz w:val="24"/>
                <w:szCs w:val="24"/>
                <w:lang w:val="en-US"/>
              </w:rPr>
              <w:t>9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3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 Цель муниципальной программы "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shd w:fill="FFFFFF" w:val="clear"/>
              </w:rPr>
              <w:t>оздание условий для обеспечения доступной и качественной медицинской помощи населению в целях увеличения ожидаемой продолжительности жизни при рождении, снижение уровня смертности и инвалидности населения</w:t>
            </w:r>
            <w:r>
              <w:rPr>
                <w:rFonts w:eastAsia="" w:eastAsiaTheme="minorEastAsia"/>
                <w:sz w:val="24"/>
                <w:szCs w:val="24"/>
              </w:rPr>
              <w:t>"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Ожидаемая продолжительность жизни при рождении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лет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73,07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73,38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75,0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75,74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ГБУЗ «Районная больница с. Кунашак»</w:t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Снижение заболеваемости гепатитом C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человек на 100 тыс. населения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26,56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22,81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22,81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22,81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Снижение заболеваемости ВИЧ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человек на 100 тыс. населения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62,9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61,0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61,0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Снижение заболеваемости туберкулезом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человек на 100 тыс. населения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31,6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30,3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30,3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Смертность от всех причин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промилле на 1000 населения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13,1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13,1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13,1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Смертность от новообразований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человек на 100 тыс. населения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216,1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216,1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216,1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216,1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1.7.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Смертность населения от болезней системы кровообращения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человек на 100 тыс. населения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492,7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492,7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492,7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492,7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1.8.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Охват населения иммунизацией в рамках Национального календаря профилактических прививок не менее 95 % от подлежащих иммунизации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процентов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95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95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1.9.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Количество (доля) граждан, ведущих здоровый образ жизни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процентов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7,2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7,5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6" w:name="P688"/>
      <w:bookmarkStart w:id="7" w:name="P688"/>
      <w:bookmarkEnd w:id="7"/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План достижения показателей</w:t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 *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671" w:type="dxa"/>
        <w:jc w:val="left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921"/>
        <w:gridCol w:w="2011"/>
        <w:gridCol w:w="864"/>
        <w:gridCol w:w="933"/>
        <w:gridCol w:w="800"/>
        <w:gridCol w:w="668"/>
        <w:gridCol w:w="801"/>
        <w:gridCol w:w="799"/>
        <w:gridCol w:w="801"/>
        <w:gridCol w:w="801"/>
        <w:gridCol w:w="800"/>
        <w:gridCol w:w="666"/>
        <w:gridCol w:w="667"/>
        <w:gridCol w:w="801"/>
        <w:gridCol w:w="666"/>
        <w:gridCol w:w="1668"/>
      </w:tblGrid>
      <w:tr>
        <w:trPr>
          <w:trHeight w:val="649" w:hRule="atLeast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конец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 года &lt;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&gt;</w:t>
            </w:r>
          </w:p>
        </w:tc>
      </w:tr>
      <w:tr>
        <w:trPr>
          <w:trHeight w:val="146" w:hRule="atLeast"/>
        </w:trPr>
        <w:tc>
          <w:tcPr>
            <w:tcW w:w="9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>
          <w:trHeight w:val="103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Ожидаемая продолжительность жизни при рождении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ВДЛ, ГП 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ДСП</w:t>
            </w:r>
          </w:p>
        </w:tc>
      </w:tr>
      <w:tr>
        <w:trPr>
          <w:trHeight w:val="54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Заболеваемость гепатитом C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ГП 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человек на 100 тыс. населения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39,74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37,6</w:t>
            </w:r>
          </w:p>
        </w:tc>
      </w:tr>
      <w:tr>
        <w:trPr>
          <w:trHeight w:val="28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Заболеваемость ВИЧ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ГП 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"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человек на 100 тыс. населения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62,9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62,0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61,5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61,0</w:t>
            </w:r>
          </w:p>
        </w:tc>
      </w:tr>
      <w:tr>
        <w:trPr>
          <w:trHeight w:val="28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textAlignment w:val="baseline"/>
              <w:rPr/>
            </w:pPr>
            <w:r>
              <w:rPr/>
              <w:t>Заболеваемость туберкулезом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ГП 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человек на 100 тыс. населения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31,6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31,4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30,9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30,3</w:t>
            </w:r>
          </w:p>
        </w:tc>
      </w:tr>
      <w:tr>
        <w:trPr>
          <w:trHeight w:val="28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textAlignment w:val="baseline"/>
              <w:rPr/>
            </w:pPr>
            <w:r>
              <w:rPr/>
              <w:t>Смертность населения от всех причин смерти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ГП 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промилле на 1000 населения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</w:tr>
      <w:tr>
        <w:trPr>
          <w:trHeight w:val="28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textAlignment w:val="baseline"/>
              <w:rPr/>
            </w:pPr>
            <w:r>
              <w:rPr/>
              <w:t>Смертность населения от новообразований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ГП 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человек 100 тыс. населения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215,2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215,0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215,0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214,8</w:t>
            </w:r>
          </w:p>
        </w:tc>
      </w:tr>
      <w:tr>
        <w:trPr>
          <w:trHeight w:val="28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textAlignment w:val="baseline"/>
              <w:rPr/>
            </w:pPr>
            <w:r>
              <w:rPr/>
              <w:t>Смертность населения от болезней системы кровообращения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ГП 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человек на 100 тыс. населения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485,3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485,3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480,0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477,9</w:t>
            </w:r>
          </w:p>
        </w:tc>
      </w:tr>
      <w:tr>
        <w:trPr>
          <w:trHeight w:val="28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textAlignment w:val="baseline"/>
              <w:rPr/>
            </w:pPr>
            <w:r>
              <w:rPr/>
              <w:t>Охват населения иммунизацией в рамках Национального календаря профилактических прививок не менее 95 процентов от подлежащих иммунизации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ГП 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процентов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95</w:t>
            </w:r>
          </w:p>
        </w:tc>
      </w:tr>
      <w:tr>
        <w:trPr>
          <w:trHeight w:val="28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textAlignment w:val="baseline"/>
              <w:rPr/>
            </w:pPr>
            <w:r>
              <w:rPr/>
              <w:t>Суммарный коэффициент рождаемости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ВДЛ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число детей в расчете на одну женщину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1,484</w:t>
            </w:r>
          </w:p>
        </w:tc>
      </w:tr>
      <w:tr>
        <w:trPr>
          <w:trHeight w:val="28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textAlignment w:val="baseline"/>
              <w:rPr/>
            </w:pPr>
            <w:r>
              <w:rPr/>
              <w:t>Снижение суммарной продолжительности временной нетрудоспособности по заболеванию работающих граждан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ГП 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процентов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jc w:val="center"/>
              <w:textAlignment w:val="baseline"/>
              <w:rPr/>
            </w:pPr>
            <w:r>
              <w:rPr/>
              <w:t>94,5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8" w:name="P804"/>
      <w:bookmarkStart w:id="9" w:name="P804"/>
      <w:bookmarkEnd w:id="9"/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ВДЛ - показатели оценки эффективности деятельности высшего должностного лица Кунашакского муниципального округа и деятельности исполнительных органов;</w:t>
      </w:r>
    </w:p>
    <w:p>
      <w:pPr>
        <w:pStyle w:val="formattext"/>
        <w:shd w:val="clear" w:color="auto" w:fill="FFFFFF"/>
        <w:spacing w:beforeAutospacing="0" w:before="0" w:afterAutospacing="0" w:after="0"/>
        <w:textAlignment w:val="baseline"/>
        <w:rPr/>
      </w:pPr>
      <w:r>
        <w:rPr/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ГП РФ - </w:t>
      </w:r>
      <w:r>
        <w:fldChar w:fldCharType="begin"/>
      </w:r>
      <w:r>
        <w:rPr>
          <w:rStyle w:val="Hyperlink"/>
        </w:rPr>
        <w:instrText xml:space="preserve"> HYPERLINK "https://docs.cntd.ru/document/556183184" \l "6580IP"</w:instrText>
      </w:r>
      <w:r>
        <w:rPr>
          <w:rStyle w:val="Hyperlink"/>
        </w:rPr>
        <w:fldChar w:fldCharType="separate"/>
      </w:r>
      <w:r>
        <w:rPr>
          <w:rStyle w:val="Hyperlink"/>
        </w:rPr>
        <w:t>государственная программа Российской Федерации "Развитие здравоохранения"</w:t>
      </w:r>
      <w:r>
        <w:rPr>
          <w:rStyle w:val="Hyperlink"/>
        </w:rPr>
        <w:fldChar w:fldCharType="end"/>
      </w:r>
      <w:r>
        <w:rPr/>
        <w:t>, утвержденная </w:t>
      </w:r>
      <w:r>
        <w:fldChar w:fldCharType="begin"/>
      </w:r>
      <w:r>
        <w:rPr>
          <w:rStyle w:val="Hyperlink"/>
        </w:rPr>
        <w:instrText xml:space="preserve"> HYPERLINK "https://docs.cntd.ru/document/556183184" \l "7D20K3"</w:instrText>
      </w:r>
      <w:r>
        <w:rPr>
          <w:rStyle w:val="Hyperlink"/>
        </w:rPr>
        <w:fldChar w:fldCharType="separate"/>
      </w:r>
      <w:r>
        <w:rPr>
          <w:rStyle w:val="Hyperlink"/>
        </w:rPr>
        <w:t>постановлением Правительства Российской Федерации от 26 декабря 2017 г. N 1640 "Об утверждении государственной программы Российской Федерации "Развитие здравоохранения"</w:t>
      </w:r>
      <w:r>
        <w:rPr>
          <w:rStyle w:val="Hyperlink"/>
        </w:rPr>
        <w:fldChar w:fldCharType="end"/>
      </w:r>
      <w:r>
        <w:rPr/>
        <w:t>;</w:t>
        <w:br/>
      </w:r>
    </w:p>
    <w:p>
      <w:pPr>
        <w:pStyle w:val="formattext"/>
        <w:shd w:val="clear" w:color="auto" w:fill="FFFFFF"/>
        <w:spacing w:beforeAutospacing="0" w:before="0" w:afterAutospacing="0" w:after="0"/>
        <w:textAlignment w:val="baseline"/>
        <w:rPr/>
      </w:pPr>
      <w:r>
        <w:rPr/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textAlignment w:val="baseline"/>
        <w:rPr/>
      </w:pPr>
      <w:r>
        <w:rPr/>
        <w:t>ГП - государственная программа Челябинской области "Развитие здравоохранения", утвержденная постановлением Правительства Челябинской области от 11.12.2020 г. N 675-П "О государственной программе Челябинской области "Развитие здравоохранения Челябинской области"</w:t>
      </w:r>
    </w:p>
    <w:p>
      <w:pPr>
        <w:pStyle w:val="ConsPlus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Структура муниципальной программы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47"/>
        <w:gridCol w:w="7043"/>
        <w:gridCol w:w="3766"/>
        <w:gridCol w:w="2913"/>
      </w:tblGrid>
      <w:tr>
        <w:trPr>
          <w:tblHeader w:val="true"/>
          <w:cantSplit w:val="true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Наименование направления «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Совершенствование оказания медицинской помощи, включая профилактику и диагностику заболеваний, и формирование здорового образа жизни»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1.1.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"Развитие системы оказания первичной медико-санитарной помощи".  Куратор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главы округа по социальным вопросам</w:t>
            </w:r>
          </w:p>
        </w:tc>
      </w:tr>
      <w:tr>
        <w:trPr/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реализацию: Управление социальной защиты населения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 2026-2028г.г.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Гражданам предоставлены возможности для оценки своего здоровья путем прохождения профилактического медицинского осмотра и (или) диспансеризации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внедрена система информирования граждан, застрахованных в системе обязательного медицинского страхования, о правах на получение бесплатной медицинской помощи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обеспечена доступность прохождения диспансеризации и профилактического осмотра старшего поколения путем подвоза из труднодоступных территорий в районную больницу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ожидаемая продолжительность жизни при рождении;</w:t>
              <w:br/>
            </w:r>
          </w:p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смертность населения от всех причин смерти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69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Проведена вакцинация населения, в т. ч на основании данных системы эпидемиологического мониторинга факторов риска возникновения заболеваний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Обеспечена доступность оказания профилактики клещевого энцефалита, и профилактика бешенства от укусов животных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ожидаемая продолжительность жизни при рождении;</w:t>
              <w:br/>
            </w:r>
          </w:p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смертность населения от всех причин смерти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"Борьба с гепатитом C и минимизация рисков распространения данного заболевания". Куратор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Заместитель главы округа по социальным вопросам</w:t>
            </w:r>
          </w:p>
        </w:tc>
      </w:tr>
      <w:tr>
        <w:trPr/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реализацию Управление социальной защиты населения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 2026-2028г.г.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 концу 2030 года будет обеспечено снижение заболеваемости хроническим вирусным гепатитом C не менее чем на 15 процентов, смертности - не менее чем на 20 процентов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увеличена доля пациентов с хроническим вирусным гепатитом C,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C, состоящих под диспансерным наблюдением;</w:t>
              <w:br/>
            </w:r>
          </w:p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увеличена доля пациентов с хроническим вирусным гепатитом C, данные о которых внесены в Федеральный регистр вирусных гепатитов, обеспеченных лекарственными препаратами в условиях дневного стационара в рамках обязательного медицинского страхования, от общего числа пациентов с хроническим вирусным гепатитом C, состоящих под диспансерным наблюдением;</w:t>
              <w:br/>
            </w:r>
          </w:p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увеличена доля пациентов с хроническим вирусным гепатитом C, данные о которых внесены в Федеральный регистр вирусных гепатитов, из числа зарегистрированных пациентов с хроническим вирусным гепатитом C;</w:t>
            </w:r>
          </w:p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увеличена доля пациентов, излечившихся от хронического вирусного гепатита C, от обеспеченных лекарственными препаратами;</w:t>
              <w:br/>
            </w:r>
          </w:p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обеспечено проведение скрининга на наличие антител к вирусному гепатиту C лиц из групп повышенного риска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ожидаемая продолжительность жизни при рождении;</w:t>
              <w:br/>
            </w:r>
          </w:p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смертность населения от всех причин смерти;</w:t>
              <w:br/>
            </w:r>
          </w:p>
          <w:p>
            <w:pPr>
              <w:pStyle w:val="formattext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/>
              <w:t>снижение заболеваемости гепатитом C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877"/>
      <w:bookmarkEnd w:id="10"/>
      <w:r>
        <w:rPr>
          <w:rFonts w:cs="Times New Roman" w:ascii="Times New Roman" w:hAnsi="Times New Roman"/>
          <w:sz w:val="24"/>
          <w:szCs w:val="24"/>
        </w:rPr>
        <w:t>5. Финансовое обеспечение муниципальной программы</w:t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191"/>
        <w:gridCol w:w="1876"/>
        <w:gridCol w:w="1877"/>
        <w:gridCol w:w="1731"/>
        <w:gridCol w:w="1878"/>
        <w:gridCol w:w="2016"/>
      </w:tblGrid>
      <w:tr>
        <w:trPr/>
        <w:tc>
          <w:tcPr>
            <w:tcW w:w="5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5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 + N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на реализацию проекта, в т.ч.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3 000,0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5 000,0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3 000,0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5 000,0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307"/>
      <w:bookmarkEnd w:id="11"/>
      <w:r>
        <w:rPr>
          <w:rFonts w:cs="Times New Roman" w:ascii="Times New Roman" w:hAnsi="Times New Roman"/>
          <w:sz w:val="24"/>
          <w:szCs w:val="24"/>
        </w:rPr>
        <w:t>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Обеспечение приоритетов профилактики и формирование здорового образа жизни у населения Челябинской области, развитие первичной медико-санитарной помощи, предупреждение и борьба с социально значимыми заболеваниями"</w:t>
      </w:r>
      <w:r>
        <w:rPr>
          <w:rFonts w:cs="Times New Roman" w:ascii="Times New Roman" w:hAnsi="Times New Roman"/>
          <w:sz w:val="24"/>
          <w:szCs w:val="24"/>
        </w:rPr>
        <w:t>"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753"/>
        <w:gridCol w:w="5816"/>
      </w:tblGrid>
      <w:tr>
        <w:trPr/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55"/>
        <w:gridCol w:w="3842"/>
        <w:gridCol w:w="1767"/>
        <w:gridCol w:w="3510"/>
        <w:gridCol w:w="1224"/>
        <w:gridCol w:w="1282"/>
        <w:gridCol w:w="1140"/>
        <w:gridCol w:w="948"/>
      </w:tblGrid>
      <w:tr>
        <w:trPr/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>
        <w:trPr/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 + N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Повышена доступность первичной медико-санитарной помощи (увеличен охват всех граждан профилактическими медицинскими осмотрами не реже одного раза в год)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Снижен уровень заболеваемости инфекционными заболеваниями (повышен уровень иммунизации населения в рамках Национального календаря профилактических прививок - не менее 95 процентов от подлежащих иммунизации)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Снижен уровень заболеваемости туберкулезом (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Охват населения профилактическими осмотрами на туберкулёз)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Обеспечено противодействие распространению заболеваний гепатитом В и С и ВИЧ-инфекции (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Ожидаемая продолжительность жизни ВИЧ-инфицированных лиц, получающих антиретровирусную терапию в соответствии с действующими стандартами)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cs="Times New Roman" w:ascii="Times New Roman" w:hAnsi="Times New Roman"/>
          <w:sz w:val="24"/>
          <w:szCs w:val="24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10"/>
        <w:gridCol w:w="4435"/>
        <w:gridCol w:w="1382"/>
        <w:gridCol w:w="1984"/>
        <w:gridCol w:w="1999"/>
        <w:gridCol w:w="1017"/>
        <w:gridCol w:w="877"/>
        <w:gridCol w:w="1046"/>
        <w:gridCol w:w="1118"/>
      </w:tblGrid>
      <w:tr>
        <w:trPr/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>
        <w:trPr/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 + N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 комплекса процессных мероприятий: «Развитие системы медицинской профилактики неинфекционных заболеваний и формирование здорового образа жизни у населения Кунашакского округа, в том числе снижение распространенности наиболее значимых факторов риска; реализация дифференцированного подхода к организации  в рамках первичной медико-санитарной помощи профилактических осмотров и диспансеризации населения, в том числе детей, в целях обеспечения  своевременного выявления заболеваний, дающих наибольший вклад в показатели инвалидизации и смертности населения»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 (результата), направленного на достижение задачи: «Профилактика инфекционных заболеваний, включая иммунопрофилактику»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Смертность от всех причин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осуществления мероприятий по предупреждению и раннему выявлению заболеваний, в том числе предупреждению социально значимых заболеваний»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Смертность от всех причин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9,6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 комплекса процессных мероприятий: «Совершенствование оказания специализированной медицинской помощи лицам, инфицированным вирусом иммунодефицита человека, гепатитами B и C»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 (результата), направленного на достижение задачи: «для организации наблюдения, диагностики и лечения гепатита В и С и ВИЧ-инфицированных жителей области в соответствии с утвержденными Минздравом России стандартами необходимо предусмотреть дополнительное финансирование для закупа дополнительного медицинского и лабораторного оборудования»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 (процент)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ВИЧ-инфицированных лиц, состоящих на диспансерном учёте, от числа выявленных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2" w:name="P2436"/>
      <w:bookmarkStart w:id="13" w:name="P2436"/>
      <w:bookmarkEnd w:id="13"/>
      <w:r>
        <w:br w:type="page"/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pPr w:vertAnchor="text" w:horzAnchor="margin" w:leftFromText="180" w:rightFromText="180" w:tblpX="0" w:tblpY="136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79"/>
        <w:gridCol w:w="1608"/>
        <w:gridCol w:w="1609"/>
        <w:gridCol w:w="1611"/>
        <w:gridCol w:w="1607"/>
        <w:gridCol w:w="1612"/>
        <w:gridCol w:w="43"/>
      </w:tblGrid>
      <w:tr>
        <w:trPr/>
        <w:tc>
          <w:tcPr>
            <w:tcW w:w="6479" w:type="dxa"/>
            <w:vMerge w:val="restart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Источник финансового обеспечения</w:t>
            </w:r>
          </w:p>
        </w:tc>
        <w:tc>
          <w:tcPr>
            <w:tcW w:w="8090" w:type="dxa"/>
            <w:gridSpan w:val="6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6479" w:type="dxa"/>
            <w:vMerge w:val="continue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2026 год</w:t>
            </w:r>
          </w:p>
        </w:tc>
        <w:tc>
          <w:tcPr>
            <w:tcW w:w="1609" w:type="dxa"/>
            <w:tcBorders/>
            <w:vAlign w:val="center"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2027г.</w:t>
            </w:r>
          </w:p>
        </w:tc>
        <w:tc>
          <w:tcPr>
            <w:tcW w:w="1611" w:type="dxa"/>
            <w:tcBorders/>
            <w:vAlign w:val="center"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2028г.</w:t>
            </w:r>
          </w:p>
        </w:tc>
        <w:tc>
          <w:tcPr>
            <w:tcW w:w="1607" w:type="dxa"/>
            <w:tcBorders/>
            <w:vAlign w:val="center"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год + N</w:t>
            </w:r>
          </w:p>
        </w:tc>
        <w:tc>
          <w:tcPr>
            <w:tcW w:w="1612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Всего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479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609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611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607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612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479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Всего на реализацию комплекса процессных мероприятий, в т.ч.</w:t>
            </w:r>
          </w:p>
        </w:tc>
        <w:tc>
          <w:tcPr>
            <w:tcW w:w="1608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1 000,0</w:t>
            </w:r>
          </w:p>
        </w:tc>
        <w:tc>
          <w:tcPr>
            <w:tcW w:w="1609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1 000,0</w:t>
            </w:r>
          </w:p>
        </w:tc>
        <w:tc>
          <w:tcPr>
            <w:tcW w:w="1611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3 000,0</w:t>
            </w:r>
          </w:p>
        </w:tc>
        <w:tc>
          <w:tcPr>
            <w:tcW w:w="1607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12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5 000,0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479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Федеральный бюджет</w:t>
            </w:r>
          </w:p>
        </w:tc>
        <w:tc>
          <w:tcPr>
            <w:tcW w:w="1608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09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11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07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12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479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Областной бюджет</w:t>
            </w:r>
          </w:p>
        </w:tc>
        <w:tc>
          <w:tcPr>
            <w:tcW w:w="1608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09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11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07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12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479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Районный бюджет</w:t>
            </w:r>
          </w:p>
        </w:tc>
        <w:tc>
          <w:tcPr>
            <w:tcW w:w="1608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1 000,0</w:t>
            </w:r>
          </w:p>
        </w:tc>
        <w:tc>
          <w:tcPr>
            <w:tcW w:w="1609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1 000,0</w:t>
            </w:r>
          </w:p>
        </w:tc>
        <w:tc>
          <w:tcPr>
            <w:tcW w:w="1611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3 000,0</w:t>
            </w:r>
          </w:p>
        </w:tc>
        <w:tc>
          <w:tcPr>
            <w:tcW w:w="1607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612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5 000,0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r>
        <w:rPr>
          <w:bCs/>
          <w:sz w:val="24"/>
          <w:szCs w:val="24"/>
        </w:rPr>
        <w:t>5. План по реализации комплекса процессных мероприятий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50"/>
        <w:gridCol w:w="4978"/>
        <w:gridCol w:w="2036"/>
        <w:gridCol w:w="3057"/>
        <w:gridCol w:w="3649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 типа мероприятий</w:t>
            </w:r>
            <w:hyperlink w:anchor="sub_1205">
              <w:r>
                <w:rPr>
                  <w:rStyle w:val="Style9"/>
                  <w:sz w:val="24"/>
                  <w:szCs w:val="24"/>
                </w:rPr>
                <w:t>*</w:t>
              </w:r>
            </w:hyperlink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мероприятия*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  <w:r>
              <w:rPr>
                <w:sz w:val="24"/>
                <w:szCs w:val="24"/>
                <w:lang w:val="en-US"/>
              </w:rPr>
              <w:t xml:space="preserve"> &lt;</w:t>
            </w:r>
            <w:r>
              <w:rPr>
                <w:sz w:val="24"/>
                <w:szCs w:val="24"/>
              </w:rPr>
              <w:t>1*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 **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задачи комплекса процессных мероприятий «Развитие системы медицинской профилактики неинфекционных заболеваний и формирование здорового образа жизни у населения Кунашакского округа, в том числе снижение распространенности наиболее значимых факторов риска; реализация дифференцированного подхода к организации  в рамках первичной медико-санитарной помощи профилактических осмотров и диспансеризации населения, в том числе детей, в целях обеспечения  своевременного выявления заболеваний, дающих наибольший вклад в показатели инвалидизации и смертности населения»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Приобретена вакцина в рамках профилактики здорового образа жизни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Приобретена вакцина противоклещевая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мероприятия по профилактике здорового образа жизни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 иммуноглобулин противоклещевой</w:t>
            </w:r>
          </w:p>
        </w:tc>
        <w:tc>
          <w:tcPr>
            <w:tcW w:w="20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Приобретена вакцина антирабическая</w:t>
            </w:r>
          </w:p>
        </w:tc>
        <w:tc>
          <w:tcPr>
            <w:tcW w:w="20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Приобретены ИМН в рамках профилактики гепатита В и С и ВИЧ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Приобретены перчатки медицинские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мероприятия по профилактике ВИЧ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Приобретены пробирки для забора крови на гепатит В и С и ВИЧ</w:t>
            </w:r>
          </w:p>
        </w:tc>
        <w:tc>
          <w:tcPr>
            <w:tcW w:w="20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r>
        <w:rPr>
          <w:bCs/>
          <w:sz w:val="24"/>
          <w:szCs w:val="24"/>
        </w:rPr>
        <w:t>Финансовое обеспечение реализации муниципальной программы за счет всех источников финансирования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32"/>
        <w:gridCol w:w="3225"/>
        <w:gridCol w:w="2299"/>
        <w:gridCol w:w="2063"/>
        <w:gridCol w:w="986"/>
        <w:gridCol w:w="988"/>
        <w:gridCol w:w="988"/>
        <w:gridCol w:w="986"/>
        <w:gridCol w:w="988"/>
        <w:gridCol w:w="991"/>
        <w:gridCol w:w="22"/>
      </w:tblGrid>
      <w:tr>
        <w:trPr/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</w:t>
            </w:r>
            <w:r>
              <w:rPr>
                <w:sz w:val="24"/>
                <w:szCs w:val="24"/>
              </w:rPr>
              <w:t>од+</w:t>
            </w: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"Развитие здравоохранения Кунашакского муниципального округа"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1 «Профилактика инфекционных заболеваний, включая иммунопрофилактику»</w:t>
            </w:r>
          </w:p>
        </w:tc>
      </w:tr>
      <w:tr>
        <w:trPr/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Структурный элемент 1.1 "</w:t>
            </w:r>
            <w:r>
              <w:rPr>
                <w:b/>
                <w:bCs/>
              </w:rPr>
              <w:t xml:space="preserve"> Реализация мероприятий, направленных на формирование здорового образа жизни, укрепление и сохранение здоровья населения Кунашакского муниципального округа, в том числе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Проведение вакцинации, в т. ч на основании данных системы эпидемиологического мониторинга факторов риска возникновения заболеваний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осуществления мероприятий по предупреждению и раннему выявлению заболеваний, в том числе предупреждению социально значимых заболеваний»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Структурный элемент 1.2 "</w:t>
            </w:r>
            <w:r>
              <w:rPr>
                <w:b/>
                <w:bCs/>
              </w:rPr>
              <w:t xml:space="preserve"> Совершенствование оказания медицинской помощи лицам, инфицированным вирусом иммунодефицита человека, гепатитами B и C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1.2.1.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Приобретение средств индивидуальной защиты (перчатки, маски, шприцы, системы, предметы обихода одноразового пользования, биксы, дез. средства)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  <w:t>Закупка одноразовых вакуумных пробирок для забора крови на ВИЧ-инфекцию (охват населения не менее 30%)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2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410" w:hanging="87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73aa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673aa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673aa"/>
    <w:pPr/>
    <w:rPr>
      <w:rFonts w:ascii="Tahoma" w:hAnsi="Tahoma" w:cs="Tahoma"/>
      <w:sz w:val="16"/>
      <w:szCs w:val="16"/>
    </w:rPr>
  </w:style>
  <w:style w:type="paragraph" w:styleId="docdata" w:customStyle="1">
    <w:name w:val="docdata"/>
    <w:basedOn w:val="Normal"/>
    <w:qFormat/>
    <w:rsid w:val="00320bd8"/>
    <w:pPr>
      <w:suppressAutoHyphens w:val="false"/>
      <w:overflowPunct w:val="false"/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0bd8"/>
    <w:pPr>
      <w:suppressAutoHyphens w:val="false"/>
      <w:overflowPunct w:val="false"/>
      <w:spacing w:beforeAutospacing="1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7a3e41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17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formattext">
    <w:name w:val="formattext"/>
    <w:basedOn w:val="Normal"/>
    <w:qFormat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paragraph" w:styleId="ConsPlusTitle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9776-909E-4C30-B708-B8307922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LibreOffice/25.2.6.2$Linux_X86_64 LibreOffice_project/520$Build-2</Application>
  <AppVersion>15.0000</AppVersion>
  <Pages>27</Pages>
  <Words>4499</Words>
  <Characters>31743</Characters>
  <CharactersWithSpaces>35787</CharactersWithSpaces>
  <Paragraphs>742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2026-04-06T04:10:00Z</dcterms:created>
  <dc:creator>su</dc:creator>
  <dc:description/>
  <dc:language>ru-RU</dc:language>
  <cp:lastModifiedBy/>
  <cp:lastPrinted>2026-04-07T08:18:00Z</cp:lastPrinted>
  <dcterms:modified xsi:type="dcterms:W3CDTF">2026-04-17T09:16:37Z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